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25" w:rsidRPr="00A2277B" w:rsidRDefault="00361590" w:rsidP="004F4825">
      <w:pPr>
        <w:pStyle w:val="berschrift1"/>
      </w:pPr>
      <w:bookmarkStart w:id="0" w:name="_GoBack"/>
      <w:bookmarkEnd w:id="0"/>
      <w:r w:rsidRPr="00A2277B">
        <w:t>Zwölf ausgesuchte Determinanten von Gesundheit</w:t>
      </w:r>
    </w:p>
    <w:p w:rsidR="004F4825" w:rsidRPr="00A2277B" w:rsidRDefault="00361590">
      <w:pPr>
        <w:rPr>
          <w:rFonts w:ascii="Helvetica" w:hAnsi="Helvetica"/>
          <w:sz w:val="18"/>
        </w:rPr>
      </w:pPr>
    </w:p>
    <w:p w:rsidR="004F4825" w:rsidRPr="00A2277B" w:rsidRDefault="00361590" w:rsidP="004F4825">
      <w:r w:rsidRPr="00A2277B">
        <w:t xml:space="preserve">(Eigenschaften, Kompetenzen, Einstellungen, die im Rahmen der </w:t>
      </w:r>
      <w:proofErr w:type="spellStart"/>
      <w:r w:rsidRPr="00A2277B">
        <w:t>Salutogeneseforschung</w:t>
      </w:r>
      <w:proofErr w:type="spellEnd"/>
      <w:r w:rsidRPr="00A2277B">
        <w:t xml:space="preserve"> in verschiedenen Wissenschaftsdisziplinen empirisch ermittelt wurden) aus Veröffentlichung des Bundesministeriums für Bildun</w:t>
      </w:r>
      <w:r w:rsidRPr="00A2277B">
        <w:t>g, Wissenschaft, Forschung und Technologie, 1997, Gesundheit und allgemeine Weiterbildung</w:t>
      </w:r>
    </w:p>
    <w:p w:rsidR="004F4825" w:rsidRPr="00A2277B" w:rsidRDefault="00361590" w:rsidP="00A2277B">
      <w:pPr>
        <w:pStyle w:val="berschrift2"/>
      </w:pPr>
      <w:r w:rsidRPr="00A2277B">
        <w:t xml:space="preserve">Zuversicht </w:t>
      </w:r>
    </w:p>
    <w:p w:rsidR="004F4825" w:rsidRPr="00A2277B" w:rsidRDefault="00361590" w:rsidP="004F4825">
      <w:pPr>
        <w:ind w:right="800"/>
      </w:pPr>
      <w:r w:rsidRPr="00A2277B">
        <w:t>Menschen, die trotz Misserfolgen und Niederschlägen nie die Hoffnung aufgeben, sind gegen Krankheiten gefeiter als Pessimisten.</w:t>
      </w:r>
    </w:p>
    <w:p w:rsidR="004F4825" w:rsidRPr="00A2277B" w:rsidRDefault="00361590" w:rsidP="00A2277B">
      <w:pPr>
        <w:pStyle w:val="berschrift2"/>
      </w:pPr>
      <w:r w:rsidRPr="00A2277B">
        <w:t>Internale Kontrollüberzeug</w:t>
      </w:r>
      <w:r w:rsidRPr="00A2277B">
        <w:t>ung</w:t>
      </w:r>
    </w:p>
    <w:p w:rsidR="004F4825" w:rsidRPr="00A2277B" w:rsidRDefault="00361590">
      <w:pPr>
        <w:rPr>
          <w:rFonts w:ascii="Helvetica" w:hAnsi="Helvetica"/>
          <w:sz w:val="18"/>
        </w:rPr>
      </w:pPr>
      <w:r w:rsidRPr="00A2277B">
        <w:t>Wer glaubt, wichtige Ereignisse im Leben selbst beeinflussen zu können, wer sich nicht äußeren Kräften oder anderen Menschen ausgeliefert fühlt, wird seltener krank.</w:t>
      </w:r>
    </w:p>
    <w:p w:rsidR="004F4825" w:rsidRPr="00A2277B" w:rsidRDefault="00361590" w:rsidP="00A2277B">
      <w:pPr>
        <w:pStyle w:val="berschrift2"/>
      </w:pPr>
      <w:r w:rsidRPr="00A2277B">
        <w:t>Selbstvertrauen</w:t>
      </w:r>
    </w:p>
    <w:p w:rsidR="004F4825" w:rsidRPr="00A2277B" w:rsidRDefault="00361590">
      <w:pPr>
        <w:rPr>
          <w:rFonts w:ascii="Helvetica" w:hAnsi="Helvetica"/>
          <w:sz w:val="18"/>
        </w:rPr>
      </w:pPr>
      <w:r w:rsidRPr="00A2277B">
        <w:t xml:space="preserve">Gesund erhält auch die Einstellung "Ich schaffe das schon“ – also der </w:t>
      </w:r>
      <w:r w:rsidRPr="00A2277B">
        <w:t>Glaube an sich selbst.</w:t>
      </w:r>
    </w:p>
    <w:p w:rsidR="004F4825" w:rsidRPr="00A2277B" w:rsidRDefault="00361590" w:rsidP="00A2277B">
      <w:pPr>
        <w:pStyle w:val="berschrift2"/>
      </w:pPr>
      <w:r w:rsidRPr="00A2277B">
        <w:t xml:space="preserve">Interpersonales Vertrauen </w:t>
      </w:r>
      <w:r w:rsidRPr="00A2277B">
        <w:tab/>
      </w:r>
      <w:r w:rsidRPr="00A2277B">
        <w:noBreakHyphen/>
      </w:r>
    </w:p>
    <w:p w:rsidR="004F4825" w:rsidRPr="00A2277B" w:rsidRDefault="00361590" w:rsidP="004F4825">
      <w:r w:rsidRPr="00A2277B">
        <w:t xml:space="preserve">Wer glaubt, sich auf seine Mitmenschen verlassen und ihnen trauen zu können, hat damit einen weiteren Schutz vor Krankheit. </w:t>
      </w:r>
    </w:p>
    <w:p w:rsidR="004F4825" w:rsidRPr="00A2277B" w:rsidRDefault="00361590" w:rsidP="00A2277B">
      <w:pPr>
        <w:pStyle w:val="berschrift2"/>
      </w:pPr>
      <w:r w:rsidRPr="00A2277B">
        <w:t>Wertschätzung</w:t>
      </w:r>
    </w:p>
    <w:p w:rsidR="004F4825" w:rsidRPr="00A2277B" w:rsidRDefault="00361590" w:rsidP="004F4825">
      <w:r w:rsidRPr="00A2277B">
        <w:t>Eine allgemeine hohe Wertschätzung sich selbst und anderen gegenü</w:t>
      </w:r>
      <w:r w:rsidRPr="00A2277B">
        <w:t>ber wirkt sich positiv auf Selbsterleben, soziale Beziehungen und Gesundheit aus.</w:t>
      </w:r>
    </w:p>
    <w:p w:rsidR="004F4825" w:rsidRPr="00A2277B" w:rsidRDefault="00361590" w:rsidP="00A2277B">
      <w:pPr>
        <w:pStyle w:val="berschrift2"/>
      </w:pPr>
      <w:r w:rsidRPr="00A2277B">
        <w:t>Verschiedene soziale Rollen</w:t>
      </w:r>
    </w:p>
    <w:p w:rsidR="004F4825" w:rsidRPr="00A2277B" w:rsidRDefault="00361590" w:rsidP="004F4825">
      <w:pPr>
        <w:rPr>
          <w:noProof/>
        </w:rPr>
      </w:pPr>
      <w:r w:rsidRPr="00A2277B">
        <w:t xml:space="preserve">… und das Netz sozialer Beziehungen, die soziale Integration und soziale Unterstützung senken </w:t>
      </w:r>
      <w:r w:rsidRPr="00A2277B">
        <w:rPr>
          <w:noProof/>
        </w:rPr>
        <w:t>die Anfälligkeit gegenüber Belastungen und wirken si</w:t>
      </w:r>
      <w:r w:rsidRPr="00A2277B">
        <w:rPr>
          <w:noProof/>
        </w:rPr>
        <w:t>ch gesundheitsförderlich aus.</w:t>
      </w:r>
    </w:p>
    <w:p w:rsidR="004F4825" w:rsidRPr="00A2277B" w:rsidRDefault="00361590" w:rsidP="00A2277B">
      <w:pPr>
        <w:pStyle w:val="berschrift2"/>
      </w:pPr>
      <w:r w:rsidRPr="00A2277B">
        <w:t>Großes Verhaltensrepertoire</w:t>
      </w:r>
    </w:p>
    <w:p w:rsidR="004F4825" w:rsidRPr="00A2277B" w:rsidRDefault="00361590">
      <w:pPr>
        <w:rPr>
          <w:rFonts w:ascii="Helvetica" w:hAnsi="Helvetica"/>
          <w:sz w:val="18"/>
        </w:rPr>
      </w:pPr>
      <w:r w:rsidRPr="00A2277B">
        <w:t>Die Überzeugung, selbst über das notwendige erforderliche Verhaltensrepertoire zu verfügen, um Probleme lösen zu können, wirkt sich gesundheitsförderlich aus.</w:t>
      </w:r>
    </w:p>
    <w:p w:rsidR="004F4825" w:rsidRPr="00A2277B" w:rsidRDefault="00361590" w:rsidP="00A2277B">
      <w:pPr>
        <w:pStyle w:val="berschrift2"/>
      </w:pPr>
      <w:r w:rsidRPr="00A2277B">
        <w:t>Soziale Kompetenzen</w:t>
      </w:r>
    </w:p>
    <w:p w:rsidR="004F4825" w:rsidRPr="00A2277B" w:rsidRDefault="00361590">
      <w:pPr>
        <w:rPr>
          <w:rFonts w:ascii="Helvetica" w:hAnsi="Helvetica"/>
          <w:sz w:val="18"/>
        </w:rPr>
      </w:pPr>
      <w:r w:rsidRPr="00A2277B">
        <w:t>Selbstbehauptungsfä</w:t>
      </w:r>
      <w:r w:rsidRPr="00A2277B">
        <w:t>higkeit, Liebesfähigkeit und Kommunikationsfähigkeit sind neben anderen personalen Kompetenzen Grundlagen dafür, dass ein Mensch in Belastungssituationen soziale Unterstützung erfährt, die sich gesundheitsförderlich auswirkt.</w:t>
      </w:r>
    </w:p>
    <w:p w:rsidR="004F4825" w:rsidRPr="00A2277B" w:rsidRDefault="00361590" w:rsidP="00A2277B">
      <w:pPr>
        <w:pStyle w:val="berschrift2"/>
      </w:pPr>
      <w:r w:rsidRPr="00A2277B">
        <w:t xml:space="preserve">Sinnvolle Arbeits-, Lern- und </w:t>
      </w:r>
      <w:r w:rsidRPr="00A2277B">
        <w:t>Freizeitziele</w:t>
      </w:r>
    </w:p>
    <w:p w:rsidR="004F4825" w:rsidRPr="00A2277B" w:rsidRDefault="00361590" w:rsidP="004F4825">
      <w:r w:rsidRPr="00A2277B">
        <w:t>… tragen zu einem lebenswerten Leben bei. Persönliche Ziele zu setzen und zu verfolgen, sich einer Sache verpflichten und engagiert handeln können, sind Merkmale, die sich als protektive Faktoren für Gesundheit erwiesen haben.</w:t>
      </w:r>
    </w:p>
    <w:p w:rsidR="004F4825" w:rsidRPr="00A2277B" w:rsidRDefault="00361590" w:rsidP="00A2277B">
      <w:pPr>
        <w:pStyle w:val="berschrift2"/>
      </w:pPr>
      <w:r w:rsidRPr="00A2277B">
        <w:t>Autonome Entsch</w:t>
      </w:r>
      <w:r w:rsidRPr="00A2277B">
        <w:t>eidungen</w:t>
      </w:r>
    </w:p>
    <w:p w:rsidR="004F4825" w:rsidRPr="00A2277B" w:rsidRDefault="00361590" w:rsidP="004F4825">
      <w:r w:rsidRPr="00A2277B">
        <w:t>… über Alltagsangelegenheiten treffen zu können, bewirkt besonders im fortgeschrittenen Alter eine erhöhte Lebenszufriedenheit sowie eine verringerte Krankheits- und Sterberate.</w:t>
      </w:r>
    </w:p>
    <w:p w:rsidR="004F4825" w:rsidRPr="00A2277B" w:rsidRDefault="00361590" w:rsidP="00A2277B">
      <w:pPr>
        <w:pStyle w:val="berschrift2"/>
      </w:pPr>
      <w:r w:rsidRPr="00A2277B">
        <w:t>Positive Selbstbeurteilung</w:t>
      </w:r>
    </w:p>
    <w:p w:rsidR="004F4825" w:rsidRPr="00A2277B" w:rsidRDefault="00361590">
      <w:pPr>
        <w:tabs>
          <w:tab w:val="right" w:pos="9505"/>
        </w:tabs>
        <w:rPr>
          <w:rFonts w:ascii="Helvetica" w:hAnsi="Helvetica"/>
          <w:sz w:val="18"/>
        </w:rPr>
      </w:pPr>
      <w:r w:rsidRPr="00A2277B">
        <w:rPr>
          <w:rFonts w:ascii="Helvetica" w:hAnsi="Helvetica"/>
          <w:sz w:val="18"/>
        </w:rPr>
        <w:t>… des subjektiven Gesundheitszustandes ist</w:t>
      </w:r>
      <w:r w:rsidRPr="00A2277B">
        <w:rPr>
          <w:rFonts w:ascii="Helvetica" w:hAnsi="Helvetica"/>
          <w:sz w:val="18"/>
        </w:rPr>
        <w:t xml:space="preserve"> der ausschlaggebende Vorhersagewert für Langlebigkeit. Ältere Menschen mit einer positiven Selbstbeurteilung ihres subjektiven Gesundheitszustandes</w:t>
      </w:r>
    </w:p>
    <w:p w:rsidR="004F4825" w:rsidRPr="00A2277B" w:rsidRDefault="00361590" w:rsidP="004F4825">
      <w:pPr>
        <w:pStyle w:val="Aufzhlungszeichen"/>
      </w:pPr>
      <w:r w:rsidRPr="00A2277B">
        <w:t>haben ein positives Selbstbild,</w:t>
      </w:r>
    </w:p>
    <w:p w:rsidR="004F4825" w:rsidRPr="00A2277B" w:rsidRDefault="00361590" w:rsidP="004F4825">
      <w:pPr>
        <w:pStyle w:val="Aufzhlungszeichen"/>
      </w:pPr>
      <w:r w:rsidRPr="00A2277B">
        <w:t>haben eine positive Einstellung zu Alter und Zukunft,</w:t>
      </w:r>
    </w:p>
    <w:p w:rsidR="004F4825" w:rsidRPr="00A2277B" w:rsidRDefault="00361590" w:rsidP="004F4825">
      <w:pPr>
        <w:pStyle w:val="Aufzhlungszeichen"/>
        <w:rPr>
          <w:rFonts w:ascii="Helvetica" w:hAnsi="Helvetica"/>
          <w:sz w:val="18"/>
        </w:rPr>
      </w:pPr>
      <w:r w:rsidRPr="00A2277B">
        <w:t>haben weniger nervöse</w:t>
      </w:r>
      <w:r w:rsidRPr="00A2277B">
        <w:t xml:space="preserve"> Störungen,</w:t>
      </w:r>
    </w:p>
    <w:p w:rsidR="004F4825" w:rsidRPr="00A2277B" w:rsidRDefault="00361590" w:rsidP="004F4825">
      <w:pPr>
        <w:pStyle w:val="Aufzhlungszeichen"/>
      </w:pPr>
      <w:r w:rsidRPr="00A2277B">
        <w:t>nehmen ärztliche Hilfe angemessen in Anspruch,</w:t>
      </w:r>
    </w:p>
    <w:p w:rsidR="004F4825" w:rsidRPr="00A2277B" w:rsidRDefault="00361590" w:rsidP="004F4825">
      <w:pPr>
        <w:pStyle w:val="Aufzhlungszeichen"/>
        <w:rPr>
          <w:rFonts w:ascii="Helvetica" w:hAnsi="Helvetica"/>
          <w:sz w:val="18"/>
        </w:rPr>
      </w:pPr>
      <w:r w:rsidRPr="00A2277B">
        <w:t>sind aktiver.</w:t>
      </w:r>
    </w:p>
    <w:p w:rsidR="004F4825" w:rsidRPr="00A2277B" w:rsidRDefault="00361590" w:rsidP="00A2277B">
      <w:pPr>
        <w:pStyle w:val="berschrift2"/>
      </w:pPr>
      <w:r w:rsidRPr="00A2277B">
        <w:t>Aktivitäten</w:t>
      </w:r>
    </w:p>
    <w:p w:rsidR="004F4825" w:rsidRPr="00A2277B" w:rsidRDefault="00361590">
      <w:pPr>
        <w:rPr>
          <w:rFonts w:ascii="Helvetica" w:hAnsi="Helvetica"/>
          <w:sz w:val="18"/>
        </w:rPr>
      </w:pPr>
      <w:r w:rsidRPr="00A2277B">
        <w:t>… im körperlichen, seelisch-geistigen und sozialen Bereich zählen zu den wichtigsten Determinanten für ein gesundes Altern, besonders aus jungen Jahren fortgeführte, gepla</w:t>
      </w:r>
      <w:r w:rsidRPr="00A2277B">
        <w:t>nte, selbstinitiierte und selbststrukturierte Aktivitäten.</w:t>
      </w:r>
    </w:p>
    <w:sectPr w:rsidR="004F4825" w:rsidRPr="00A2277B" w:rsidSect="004F4825">
      <w:pgSz w:w="12240" w:h="15840"/>
      <w:pgMar w:top="864" w:right="1134" w:bottom="965" w:left="1418"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7221E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20BC75ED"/>
    <w:multiLevelType w:val="hybridMultilevel"/>
    <w:tmpl w:val="AF9A18B0"/>
    <w:lvl w:ilvl="0" w:tplc="6A92610C">
      <w:start w:val="1"/>
      <w:numFmt w:val="decimal"/>
      <w:pStyle w:val="berschrift2"/>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7B"/>
    <w:rsid w:val="00361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277B"/>
    <w:rPr>
      <w:rFonts w:ascii="Arial" w:hAnsi="Arial"/>
      <w:color w:val="000000"/>
    </w:rPr>
  </w:style>
  <w:style w:type="paragraph" w:styleId="berschrift1">
    <w:name w:val="heading 1"/>
    <w:basedOn w:val="Standard"/>
    <w:next w:val="Standard"/>
    <w:qFormat/>
    <w:rsid w:val="00A2277B"/>
    <w:pPr>
      <w:keepNext/>
      <w:spacing w:before="240" w:after="60"/>
      <w:outlineLvl w:val="0"/>
    </w:pPr>
    <w:rPr>
      <w:b/>
      <w:kern w:val="32"/>
      <w:sz w:val="32"/>
      <w:szCs w:val="32"/>
    </w:rPr>
  </w:style>
  <w:style w:type="paragraph" w:styleId="berschrift2">
    <w:name w:val="heading 2"/>
    <w:basedOn w:val="Standard"/>
    <w:next w:val="Standard"/>
    <w:qFormat/>
    <w:rsid w:val="00A2277B"/>
    <w:pPr>
      <w:keepNext/>
      <w:numPr>
        <w:numId w:val="1"/>
      </w:numPr>
      <w:tabs>
        <w:tab w:val="clear" w:pos="720"/>
        <w:tab w:val="num" w:pos="426"/>
      </w:tabs>
      <w:spacing w:before="120"/>
      <w:ind w:left="378"/>
      <w:outlineLvl w:val="1"/>
    </w:pPr>
    <w:rPr>
      <w:b/>
      <w:i/>
      <w:sz w:val="24"/>
      <w:szCs w:val="28"/>
    </w:rPr>
  </w:style>
  <w:style w:type="character" w:default="1" w:styleId="Absatz-Standardschriftart">
    <w:name w:val="Default Paragraph Font"/>
    <w:rPr>
      <w:rFonts w:ascii="Times New Roman" w:hAnsi="Times New Roman" w:hint="default"/>
      <w:strike w:val="0"/>
      <w:noProof/>
      <w:color w:val="000000"/>
      <w:spacing w:val="0"/>
      <w:sz w:val="20"/>
    </w:rPr>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Aufzhlungszeichen">
    <w:name w:val="List Bullet"/>
    <w:basedOn w:val="Standard"/>
    <w:autoRedefine/>
    <w:rsid w:val="00A2277B"/>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277B"/>
    <w:rPr>
      <w:rFonts w:ascii="Arial" w:hAnsi="Arial"/>
      <w:color w:val="000000"/>
    </w:rPr>
  </w:style>
  <w:style w:type="paragraph" w:styleId="berschrift1">
    <w:name w:val="heading 1"/>
    <w:basedOn w:val="Standard"/>
    <w:next w:val="Standard"/>
    <w:qFormat/>
    <w:rsid w:val="00A2277B"/>
    <w:pPr>
      <w:keepNext/>
      <w:spacing w:before="240" w:after="60"/>
      <w:outlineLvl w:val="0"/>
    </w:pPr>
    <w:rPr>
      <w:b/>
      <w:kern w:val="32"/>
      <w:sz w:val="32"/>
      <w:szCs w:val="32"/>
    </w:rPr>
  </w:style>
  <w:style w:type="paragraph" w:styleId="berschrift2">
    <w:name w:val="heading 2"/>
    <w:basedOn w:val="Standard"/>
    <w:next w:val="Standard"/>
    <w:qFormat/>
    <w:rsid w:val="00A2277B"/>
    <w:pPr>
      <w:keepNext/>
      <w:numPr>
        <w:numId w:val="1"/>
      </w:numPr>
      <w:tabs>
        <w:tab w:val="clear" w:pos="720"/>
        <w:tab w:val="num" w:pos="426"/>
      </w:tabs>
      <w:spacing w:before="120"/>
      <w:ind w:left="378"/>
      <w:outlineLvl w:val="1"/>
    </w:pPr>
    <w:rPr>
      <w:b/>
      <w:i/>
      <w:sz w:val="24"/>
      <w:szCs w:val="28"/>
    </w:rPr>
  </w:style>
  <w:style w:type="character" w:default="1" w:styleId="Absatz-Standardschriftart">
    <w:name w:val="Default Paragraph Font"/>
    <w:rPr>
      <w:rFonts w:ascii="Times New Roman" w:hAnsi="Times New Roman" w:hint="default"/>
      <w:strike w:val="0"/>
      <w:noProof/>
      <w:color w:val="000000"/>
      <w:spacing w:val="0"/>
      <w:sz w:val="20"/>
    </w:rPr>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Aufzhlungszeichen">
    <w:name w:val="List Bullet"/>
    <w:basedOn w:val="Standard"/>
    <w:autoRedefine/>
    <w:rsid w:val="00A2277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Kampmann, Friedrich</dc:creator>
  <cp:lastModifiedBy>Kampmann, Friedrich</cp:lastModifiedBy>
  <cp:revision>2</cp:revision>
  <dcterms:created xsi:type="dcterms:W3CDTF">2020-07-16T12:31:00Z</dcterms:created>
  <dcterms:modified xsi:type="dcterms:W3CDTF">2020-07-16T12:31:00Z</dcterms:modified>
</cp:coreProperties>
</file>