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EA" w:rsidRDefault="008A1330" w:rsidP="008F6A01">
      <w:pPr>
        <w:pStyle w:val="berschrift1"/>
        <w:spacing w:before="0"/>
      </w:pPr>
      <w:bookmarkStart w:id="0" w:name="_GoBack"/>
      <w:bookmarkEnd w:id="0"/>
      <w:r>
        <w:t>Ebenen der Intervention</w:t>
      </w:r>
    </w:p>
    <w:p w:rsidR="008F6A01" w:rsidRPr="00E6396C" w:rsidRDefault="008F6A01" w:rsidP="008F6A01">
      <w:pPr>
        <w:pStyle w:val="berschrift2"/>
      </w:pPr>
      <w:r w:rsidRPr="00E6396C">
        <w:t>Innere Haltung</w:t>
      </w:r>
    </w:p>
    <w:p w:rsidR="008F6A01" w:rsidRPr="00E6396C" w:rsidRDefault="008F6A01" w:rsidP="008F6A01">
      <w:r w:rsidRPr="00E6396C">
        <w:t>Meine Haltung zu Konflikten</w:t>
      </w:r>
    </w:p>
    <w:p w:rsidR="008F6A01" w:rsidRPr="00E6396C" w:rsidRDefault="008F6A01" w:rsidP="008F6A01">
      <w:pPr>
        <w:ind w:left="708"/>
      </w:pPr>
      <w:r w:rsidRPr="00E6396C">
        <w:t>Auseinandersetzung kann Klarheit schaffen</w:t>
      </w:r>
    </w:p>
    <w:p w:rsidR="008F6A01" w:rsidRPr="00E6396C" w:rsidRDefault="008F6A01" w:rsidP="008F6A01">
      <w:pPr>
        <w:ind w:left="708"/>
      </w:pPr>
      <w:r w:rsidRPr="00E6396C">
        <w:t>Wegschauen kostet extra</w:t>
      </w:r>
    </w:p>
    <w:p w:rsidR="008F6A01" w:rsidRPr="00E6396C" w:rsidRDefault="008F6A01" w:rsidP="008F6A01">
      <w:pPr>
        <w:ind w:left="708"/>
      </w:pPr>
      <w:r w:rsidRPr="00E6396C">
        <w:t>Keine Vermeidung von Konflikten</w:t>
      </w:r>
    </w:p>
    <w:p w:rsidR="008F6A01" w:rsidRPr="00E6396C" w:rsidRDefault="008F6A01" w:rsidP="008F6A01">
      <w:r w:rsidRPr="00E6396C">
        <w:t>Meine Bereitschaft, schnell und klar zu reagieren</w:t>
      </w:r>
    </w:p>
    <w:p w:rsidR="008F6A01" w:rsidRPr="00E6396C" w:rsidRDefault="008F6A01" w:rsidP="008F6A01">
      <w:pPr>
        <w:ind w:left="708"/>
      </w:pPr>
      <w:r w:rsidRPr="00E6396C">
        <w:t>Schnelle Reaktion erspart langes Leiden</w:t>
      </w:r>
    </w:p>
    <w:p w:rsidR="008F6A01" w:rsidRPr="00E6396C" w:rsidRDefault="008F6A01" w:rsidP="008F6A01">
      <w:pPr>
        <w:ind w:left="708"/>
      </w:pPr>
      <w:r w:rsidRPr="00E6396C">
        <w:t>Klare Ansagen bieten Orientierung</w:t>
      </w:r>
    </w:p>
    <w:p w:rsidR="008F6A01" w:rsidRDefault="008F6A01" w:rsidP="008F6A01">
      <w:pPr>
        <w:ind w:left="708"/>
      </w:pPr>
      <w:proofErr w:type="spellStart"/>
      <w:r>
        <w:t>SchülerInnen</w:t>
      </w:r>
      <w:proofErr w:type="spellEnd"/>
      <w:r>
        <w:t xml:space="preserve"> akzeptieren viel schneller, wenn sie die Folgen kennen.</w:t>
      </w:r>
    </w:p>
    <w:p w:rsidR="008F6A01" w:rsidRPr="00E6396C" w:rsidRDefault="008F6A01" w:rsidP="008F6A01">
      <w:pPr>
        <w:ind w:left="708"/>
      </w:pPr>
      <w:r>
        <w:t>Sie versuchen nicht, lange Verhandlungen loszutreten.</w:t>
      </w:r>
    </w:p>
    <w:p w:rsidR="008F6A01" w:rsidRPr="00E6396C" w:rsidRDefault="008F6A01" w:rsidP="008F6A01">
      <w:r w:rsidRPr="00E6396C">
        <w:t>Bereitschaft zur Eskalation</w:t>
      </w:r>
    </w:p>
    <w:p w:rsidR="008F6A01" w:rsidRPr="00E6396C" w:rsidRDefault="008F6A01" w:rsidP="008F6A01">
      <w:pPr>
        <w:ind w:left="708"/>
      </w:pPr>
      <w:r w:rsidRPr="00E6396C">
        <w:t>Wenn ich bereit bin zu eskalieren, kann ich das Gespräch steuern.</w:t>
      </w:r>
    </w:p>
    <w:p w:rsidR="008F6A01" w:rsidRPr="00E6396C" w:rsidRDefault="008F6A01" w:rsidP="008F6A01">
      <w:pPr>
        <w:ind w:left="708"/>
      </w:pPr>
      <w:proofErr w:type="spellStart"/>
      <w:r w:rsidRPr="00E6396C">
        <w:t>SchülerInnen</w:t>
      </w:r>
      <w:proofErr w:type="spellEnd"/>
      <w:r w:rsidRPr="00E6396C">
        <w:t xml:space="preserve"> merken, ob ich weitergehe, oder sie schnell herauskommen</w:t>
      </w:r>
    </w:p>
    <w:p w:rsidR="008F6A01" w:rsidRPr="00E6396C" w:rsidRDefault="008F6A01" w:rsidP="008F6A01">
      <w:pPr>
        <w:ind w:left="708"/>
      </w:pPr>
      <w:r w:rsidRPr="00E6396C">
        <w:t>Ich lasse mich nicht einschüchtern.</w:t>
      </w:r>
    </w:p>
    <w:p w:rsidR="008F6A01" w:rsidRPr="00E6396C" w:rsidRDefault="008F6A01" w:rsidP="008F6A01">
      <w:r w:rsidRPr="00E6396C">
        <w:t>Bereitschaft, dran zu bleiben</w:t>
      </w:r>
    </w:p>
    <w:p w:rsidR="008F6A01" w:rsidRPr="00E6396C" w:rsidRDefault="008F6A01" w:rsidP="008F6A01">
      <w:pPr>
        <w:ind w:left="708"/>
      </w:pPr>
      <w:r w:rsidRPr="00E6396C">
        <w:t>Das so genannte „Pädagogische Kaugummi“</w:t>
      </w:r>
    </w:p>
    <w:p w:rsidR="008F6A01" w:rsidRPr="00E6396C" w:rsidRDefault="008F6A01" w:rsidP="008F6A01">
      <w:pPr>
        <w:ind w:left="708"/>
      </w:pPr>
      <w:r w:rsidRPr="00E6396C">
        <w:t>Manche Auseinandersetzung kann ich nicht sofort lösen.</w:t>
      </w:r>
    </w:p>
    <w:p w:rsidR="008F6A01" w:rsidRPr="00E6396C" w:rsidRDefault="008F6A01" w:rsidP="008F6A01">
      <w:pPr>
        <w:ind w:left="708"/>
      </w:pPr>
      <w:r w:rsidRPr="00E6396C">
        <w:t>Ich bleibe aber dran und hole mir Hilfe.</w:t>
      </w:r>
    </w:p>
    <w:p w:rsidR="008F6A01" w:rsidRPr="00E6396C" w:rsidRDefault="008F6A01" w:rsidP="008F6A01">
      <w:pPr>
        <w:ind w:left="708"/>
      </w:pPr>
      <w:proofErr w:type="spellStart"/>
      <w:r w:rsidRPr="00E6396C">
        <w:t>SchülerInnen</w:t>
      </w:r>
      <w:proofErr w:type="spellEnd"/>
      <w:r w:rsidRPr="00E6396C">
        <w:t xml:space="preserve"> mögen keine langfristigen Folgen.</w:t>
      </w:r>
    </w:p>
    <w:p w:rsidR="008F6A01" w:rsidRPr="00E6396C" w:rsidRDefault="008F6A01" w:rsidP="008F6A01">
      <w:r w:rsidRPr="00E6396C">
        <w:t>Konsequenz</w:t>
      </w:r>
    </w:p>
    <w:p w:rsidR="008F6A01" w:rsidRPr="00E6396C" w:rsidRDefault="008F6A01" w:rsidP="008F6A01">
      <w:pPr>
        <w:ind w:left="708"/>
      </w:pPr>
      <w:r w:rsidRPr="00E6396C">
        <w:t>Alles hat seinen Preis – für den Schüler und für mich.</w:t>
      </w:r>
    </w:p>
    <w:p w:rsidR="008F6A01" w:rsidRPr="00E6396C" w:rsidRDefault="008F6A01" w:rsidP="008F6A01">
      <w:pPr>
        <w:ind w:left="708"/>
      </w:pPr>
      <w:r w:rsidRPr="00E6396C">
        <w:t>Was ich androhe, tue ich auch.</w:t>
      </w:r>
    </w:p>
    <w:p w:rsidR="008F6A01" w:rsidRPr="007725EA" w:rsidRDefault="008F6A01" w:rsidP="008F6A01">
      <w:pPr>
        <w:ind w:left="708"/>
      </w:pPr>
      <w:r w:rsidRPr="007725EA">
        <w:t>Das Schlimmste, was man tun kann, ist leeres Drohen.</w:t>
      </w:r>
    </w:p>
    <w:p w:rsidR="008F6A01" w:rsidRPr="00E6396C" w:rsidRDefault="008F6A01" w:rsidP="008F6A01">
      <w:r w:rsidRPr="00E6396C">
        <w:t>Katalog von möglichen Verhaltensweisen bereithalten</w:t>
      </w:r>
    </w:p>
    <w:p w:rsidR="008F6A01" w:rsidRPr="007725EA" w:rsidRDefault="008F6A01" w:rsidP="008F6A01">
      <w:pPr>
        <w:ind w:left="708"/>
      </w:pPr>
      <w:r w:rsidRPr="007725EA">
        <w:t xml:space="preserve">Die </w:t>
      </w:r>
      <w:proofErr w:type="spellStart"/>
      <w:r w:rsidRPr="007725EA">
        <w:t>SchülerInnen</w:t>
      </w:r>
      <w:proofErr w:type="spellEnd"/>
      <w:r w:rsidRPr="007725EA">
        <w:t xml:space="preserve"> wissen nicht genau, welche unangenehmen Konsequenzen sich noch ergeben können. Das hält sie von einer Eskalation zurück.</w:t>
      </w:r>
    </w:p>
    <w:p w:rsidR="008F6A01" w:rsidRPr="00E6396C" w:rsidRDefault="008F6A01" w:rsidP="008F6A01"/>
    <w:p w:rsidR="008F6A01" w:rsidRPr="00E6396C" w:rsidRDefault="008F6A01" w:rsidP="008F6A01">
      <w:pPr>
        <w:pStyle w:val="berschrift2"/>
      </w:pPr>
      <w:r w:rsidRPr="00E6396C">
        <w:t>Äußere Strukturen</w:t>
      </w:r>
    </w:p>
    <w:p w:rsidR="008F6A01" w:rsidRPr="00E6396C" w:rsidRDefault="008F6A01" w:rsidP="008F6A01">
      <w:r w:rsidRPr="00E6396C">
        <w:t>Unterstützung durch Schulleitung klären</w:t>
      </w:r>
    </w:p>
    <w:p w:rsidR="008F6A01" w:rsidRDefault="008F6A01" w:rsidP="008F6A01">
      <w:pPr>
        <w:ind w:left="708"/>
      </w:pPr>
      <w:r>
        <w:t xml:space="preserve">Vorgespräche und </w:t>
      </w:r>
    </w:p>
    <w:p w:rsidR="008F6A01" w:rsidRDefault="008F6A01" w:rsidP="008F6A01">
      <w:pPr>
        <w:ind w:left="708"/>
      </w:pPr>
      <w:r>
        <w:t>Vereinbarungen, was geschehen kann</w:t>
      </w:r>
    </w:p>
    <w:p w:rsidR="008F6A01" w:rsidRDefault="008F6A01" w:rsidP="008F6A01">
      <w:pPr>
        <w:ind w:left="708"/>
      </w:pPr>
      <w:r>
        <w:t>Besuch in der Klasse</w:t>
      </w:r>
    </w:p>
    <w:p w:rsidR="008F6A01" w:rsidRPr="00E6396C" w:rsidRDefault="008F6A01" w:rsidP="008F6A01">
      <w:pPr>
        <w:ind w:left="708"/>
      </w:pPr>
      <w:r>
        <w:t>Notruf vereinbaren</w:t>
      </w:r>
    </w:p>
    <w:p w:rsidR="008F6A01" w:rsidRPr="00E6396C" w:rsidRDefault="008F6A01" w:rsidP="008F6A01">
      <w:r w:rsidRPr="00E6396C">
        <w:t xml:space="preserve">Unterstützung durch </w:t>
      </w:r>
      <w:proofErr w:type="spellStart"/>
      <w:r w:rsidRPr="00E6396C">
        <w:t>KollegInnen</w:t>
      </w:r>
      <w:proofErr w:type="spellEnd"/>
    </w:p>
    <w:p w:rsidR="008F6A01" w:rsidRPr="00E6396C" w:rsidRDefault="008F6A01" w:rsidP="008F6A01">
      <w:pPr>
        <w:ind w:left="708"/>
      </w:pPr>
      <w:proofErr w:type="spellStart"/>
      <w:r w:rsidRPr="00E6396C">
        <w:t>KollegIn</w:t>
      </w:r>
      <w:proofErr w:type="spellEnd"/>
      <w:r w:rsidRPr="00E6396C">
        <w:t xml:space="preserve"> dazuholen</w:t>
      </w:r>
    </w:p>
    <w:p w:rsidR="008F6A01" w:rsidRPr="00E6396C" w:rsidRDefault="008F6A01" w:rsidP="008F6A01">
      <w:pPr>
        <w:ind w:left="708"/>
      </w:pPr>
      <w:proofErr w:type="spellStart"/>
      <w:r w:rsidRPr="00E6396C">
        <w:t>SchülerIn</w:t>
      </w:r>
      <w:proofErr w:type="spellEnd"/>
      <w:r w:rsidRPr="00E6396C">
        <w:t xml:space="preserve"> in eine andere Klasse schicken</w:t>
      </w:r>
    </w:p>
    <w:p w:rsidR="008F6A01" w:rsidRPr="00E6396C" w:rsidRDefault="008F6A01" w:rsidP="008F6A01">
      <w:pPr>
        <w:ind w:left="708"/>
      </w:pPr>
      <w:r w:rsidRPr="00E6396C">
        <w:t xml:space="preserve">Konfliktgespräch mit Unterstützung einer/s anderen </w:t>
      </w:r>
      <w:proofErr w:type="spellStart"/>
      <w:r w:rsidRPr="00E6396C">
        <w:t>KollegIn</w:t>
      </w:r>
      <w:proofErr w:type="spellEnd"/>
    </w:p>
    <w:p w:rsidR="008F6A01" w:rsidRPr="00E6396C" w:rsidRDefault="008F6A01" w:rsidP="008F6A01">
      <w:r w:rsidRPr="00E6396C">
        <w:t>Unterstützung durch anderes pädagogisches Personal</w:t>
      </w:r>
    </w:p>
    <w:p w:rsidR="008F6A01" w:rsidRPr="00E6396C" w:rsidRDefault="008F6A01" w:rsidP="008F6A01">
      <w:pPr>
        <w:ind w:left="708"/>
      </w:pPr>
      <w:proofErr w:type="spellStart"/>
      <w:r w:rsidRPr="00E6396C">
        <w:t>ErzieherInnen</w:t>
      </w:r>
      <w:proofErr w:type="spellEnd"/>
      <w:r w:rsidRPr="00E6396C">
        <w:t xml:space="preserve">, AUB, </w:t>
      </w:r>
      <w:proofErr w:type="spellStart"/>
      <w:r w:rsidRPr="00E6396C">
        <w:t>SozialarbeiterInnen</w:t>
      </w:r>
      <w:proofErr w:type="spellEnd"/>
    </w:p>
    <w:p w:rsidR="008F6A01" w:rsidRPr="00E6396C" w:rsidRDefault="008F6A01" w:rsidP="008F6A01">
      <w:pPr>
        <w:ind w:left="708"/>
      </w:pPr>
      <w:r w:rsidRPr="00E6396C">
        <w:t>Seniorpartners</w:t>
      </w:r>
    </w:p>
    <w:p w:rsidR="008F6A01" w:rsidRPr="00E6396C" w:rsidRDefault="008F6A01" w:rsidP="008F6A01">
      <w:pPr>
        <w:ind w:left="708"/>
      </w:pPr>
      <w:r w:rsidRPr="00E6396C">
        <w:t xml:space="preserve">Eltern </w:t>
      </w:r>
    </w:p>
    <w:p w:rsidR="008F6A01" w:rsidRPr="00E6396C" w:rsidRDefault="008F6A01" w:rsidP="008F6A01">
      <w:pPr>
        <w:ind w:left="708"/>
      </w:pPr>
      <w:r w:rsidRPr="00E6396C">
        <w:t xml:space="preserve">Außerschulische </w:t>
      </w:r>
      <w:proofErr w:type="spellStart"/>
      <w:r w:rsidRPr="00E6396C">
        <w:t>UnterstützerInnen</w:t>
      </w:r>
      <w:proofErr w:type="spellEnd"/>
    </w:p>
    <w:p w:rsidR="008F6A01" w:rsidRPr="00E6396C" w:rsidRDefault="008F6A01" w:rsidP="008F6A01">
      <w:r w:rsidRPr="00E6396C">
        <w:t>Elternkontakt</w:t>
      </w:r>
    </w:p>
    <w:p w:rsidR="008F6A01" w:rsidRPr="00E6396C" w:rsidRDefault="008F6A01" w:rsidP="008F6A01">
      <w:pPr>
        <w:ind w:left="708"/>
      </w:pPr>
      <w:r w:rsidRPr="00E6396C">
        <w:t>Anruf bei den Eltern</w:t>
      </w:r>
    </w:p>
    <w:p w:rsidR="008F6A01" w:rsidRPr="00E6396C" w:rsidRDefault="008F6A01" w:rsidP="008F6A01">
      <w:pPr>
        <w:ind w:left="1416"/>
      </w:pPr>
      <w:r w:rsidRPr="00E6396C">
        <w:t>Aus dem Unterricht</w:t>
      </w:r>
    </w:p>
    <w:p w:rsidR="008F6A01" w:rsidRPr="00E6396C" w:rsidRDefault="008F6A01" w:rsidP="008F6A01">
      <w:pPr>
        <w:ind w:left="1416"/>
      </w:pPr>
      <w:r w:rsidRPr="00E6396C">
        <w:t>Nach dem Unterricht</w:t>
      </w:r>
    </w:p>
    <w:p w:rsidR="008F6A01" w:rsidRPr="00E6396C" w:rsidRDefault="008F6A01" w:rsidP="008F6A01">
      <w:pPr>
        <w:ind w:left="708"/>
      </w:pPr>
      <w:r w:rsidRPr="00E6396C">
        <w:t>Bestellung der Eltern in die Schule</w:t>
      </w:r>
    </w:p>
    <w:p w:rsidR="008F6A01" w:rsidRPr="00E6396C" w:rsidRDefault="008F6A01" w:rsidP="008F6A01">
      <w:r w:rsidRPr="00E6396C">
        <w:t xml:space="preserve">Langfristige Ziele </w:t>
      </w:r>
    </w:p>
    <w:p w:rsidR="008F6A01" w:rsidRPr="00E6396C" w:rsidRDefault="008F6A01" w:rsidP="008F6A01">
      <w:pPr>
        <w:ind w:left="708"/>
      </w:pPr>
      <w:r w:rsidRPr="00E6396C">
        <w:t>auf einen Besinnungs-/Trainingsraum hinarbeiten</w:t>
      </w:r>
    </w:p>
    <w:p w:rsidR="008F6A01" w:rsidRDefault="008F6A01" w:rsidP="008F6A01">
      <w:pPr>
        <w:ind w:left="708"/>
      </w:pPr>
      <w:r>
        <w:t>Seniorpartners</w:t>
      </w:r>
    </w:p>
    <w:p w:rsidR="008F6A01" w:rsidRDefault="008F6A01" w:rsidP="008F6A01">
      <w:pPr>
        <w:ind w:left="708"/>
      </w:pPr>
      <w:r>
        <w:t>MAE-Kräfte</w:t>
      </w:r>
    </w:p>
    <w:p w:rsidR="008F6A01" w:rsidRDefault="008F6A01" w:rsidP="008F6A01">
      <w:pPr>
        <w:ind w:left="708"/>
      </w:pPr>
      <w:r>
        <w:t>Fördergelder</w:t>
      </w:r>
    </w:p>
    <w:p w:rsidR="008F6A01" w:rsidRPr="00E6396C" w:rsidRDefault="008F6A01" w:rsidP="008F6A01">
      <w:pPr>
        <w:ind w:left="708"/>
      </w:pPr>
      <w:r>
        <w:t>Eigene Qualifizierungsmaßnahmen (Coolness-Trainerausbildung etc.)</w:t>
      </w:r>
    </w:p>
    <w:sectPr w:rsidR="008F6A01" w:rsidRPr="00E6396C" w:rsidSect="008F6A01">
      <w:pgSz w:w="11906" w:h="16838"/>
      <w:pgMar w:top="1134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6C"/>
    <w:rsid w:val="008A1330"/>
    <w:rsid w:val="008F6A0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E6396C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rPr>
      <w:rFonts w:eastAsia="Times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E6396C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rPr>
      <w:rFonts w:eastAsia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Ebenen der Intervention</vt:lpstr>
      <vt:lpstr>Ebenen der Intervention</vt:lpstr>
      <vt:lpstr>Ebenen der Intervention</vt:lpstr>
      <vt:lpstr>    Innere Haltung</vt:lpstr>
      <vt:lpstr>    Äußere Strukturen</vt:lpstr>
    </vt:vector>
  </TitlesOfParts>
  <Company>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Ebenen der Intervention</dc:title>
  <dc:creator>Friedrich Kampmann</dc:creator>
  <cp:lastModifiedBy>Kampmann, Friedrich</cp:lastModifiedBy>
  <cp:revision>2</cp:revision>
  <cp:lastPrinted>2008-08-14T14:58:00Z</cp:lastPrinted>
  <dcterms:created xsi:type="dcterms:W3CDTF">2020-07-16T12:31:00Z</dcterms:created>
  <dcterms:modified xsi:type="dcterms:W3CDTF">2020-07-16T12:31:00Z</dcterms:modified>
</cp:coreProperties>
</file>